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napToGrid w:val="0"/>
        <w:snapToGrid w:val="0"/>
      </w:pPr>
      <w:r>
        <w:t>智能体记忆与复盘学习指南</w:t>
      </w:r>
    </w:p>
    <w:p>
      <w:pPr>
        <w:snapToGrid w:val="0"/>
        <w:snapToGrid w:val="0"/>
      </w:pPr>
      <w:r>
        <w:t>基于 Lamis Mukta 的讲座 Learning while you sleep: Beyond memory to dreaming。核心思路是：让已验证的任务经验进入记忆，再通过跨会话复盘更新记忆，使后续任务能够复用。以下流程是对讲座机制的简化应用建议。</w:t>
      </w:r>
    </w:p>
    <w:p>
      <w:pPr>
        <w:pStyle w:val="Heading1"/>
        <w:snapToGrid w:val="0"/>
        <w:snapToGrid w:val="0"/>
      </w:pPr>
      <w:r>
        <w:t>一 先理解三个概念</w:t>
      </w:r>
    </w:p>
    <w:p>
      <w:pPr>
        <w:snapToGrid w:val="0"/>
        <w:snapToGrid w:val="0"/>
      </w:pPr>
      <w:r>
        <w:t>上下文：完成当前任务所需的信息。先看索引和简述，命中后再读正文，避免一次加载全部资料。</w:t>
      </w:r>
    </w:p>
    <w:p>
      <w:pPr>
        <w:snapToGrid w:val="0"/>
        <w:snapToGrid w:val="0"/>
      </w:pPr>
      <w:r>
        <w:t>记忆：可供后续任务检索的经验。保存适用条件、做法和证据；临时推测先留在草稿中。</w:t>
      </w:r>
    </w:p>
    <w:p>
      <w:pPr>
        <w:snapToGrid w:val="0"/>
        <w:snapToGrid w:val="0"/>
      </w:pPr>
      <w:r>
        <w:t>Dreaming：在当前任务之外分析多次会话，发现重复问题，提出并验证记忆修改。它更新外部信息，不等同于训练模型参数。</w:t>
      </w:r>
    </w:p>
    <w:p>
      <w:pPr>
        <w:keepNext/>
        <w:spacing w:before="120" w:after="80"/>
        <w:ind w:firstLine="0"/>
        <w:jc w:val="center"/>
        <w:snapToGrid w:val="0"/>
      </w:pPr>
      <w:r>
        <w:drawing>
          <wp:inline xmlns:a="http://schemas.openxmlformats.org/drawingml/2006/main" xmlns:pic="http://schemas.openxmlformats.org/drawingml/2006/picture">
            <wp:extent cx="5400000" cy="3030612"/>
            <wp:docPr id="1" name="Picture 1" descr="图 1 记忆系统的演进｜08:10。读图：单文件说明 → 记忆工具 → 流程技能 → 智能体可读写的文件式记忆。借鉴重点是按需加载，并让已验证的经验能够复用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_记忆系统演进_08分10秒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06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80"/>
        <w:ind w:firstLine="0"/>
        <w:jc w:val="center"/>
        <w:snapToGrid w:val="0"/>
      </w:pPr>
      <w:r>
        <w:rPr>
          <w:b/>
          <w:sz w:val="18"/>
        </w:rPr>
        <w:t>图 1 记忆系统的演进｜08:10</w:t>
      </w:r>
    </w:p>
    <w:p>
      <w:pPr>
        <w:spacing w:after="120"/>
        <w:ind w:firstLine="0"/>
        <w:snapToGrid w:val="0"/>
      </w:pPr>
      <w:r>
        <w:rPr>
          <w:sz w:val="18"/>
        </w:rPr>
        <w:t>读图：单文件说明 → 记忆工具 → 流程技能 → 智能体可读写的文件式记忆。借鉴重点是按需加载，并让已验证的经验能够复用。</w:t>
      </w:r>
    </w:p>
    <w:p>
      <w:pPr>
        <w:spacing w:after="0"/>
        <w:snapToGrid w:val="0"/>
      </w:pPr>
      <w:r>
        <w:br w:type="page"/>
      </w:r>
    </w:p>
    <w:p>
      <w:pPr>
        <w:pStyle w:val="Heading1"/>
        <w:snapToGrid w:val="0"/>
        <w:snapToGrid w:val="0"/>
      </w:pPr>
      <w:r>
        <w:t>二 每次任务按五步执行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9"/>
        <w:gridCol w:w="3099"/>
        <w:gridCol w:w="3099"/>
      </w:tblGrid>
      <w:tr>
        <w:trPr>
          <w:cantSplit/>
          <w:cantSplit/>
          <w:cantSplit/>
          <w:tblHeader/>
        </w:trPr>
        <w:tc>
          <w:tcPr>
            <w:tcW w:type="dxa" w:w="1417"/>
            <w:vAlign w:val="center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 w:line="264" w:lineRule="auto"/>
              <w:ind w:firstLine="0"/>
            </w:pPr>
            <w:r>
              <w:rPr>
                <w:b/>
                <w:sz w:val="19"/>
              </w:rPr>
              <w:t>步骤</w:t>
            </w:r>
          </w:p>
        </w:tc>
        <w:tc>
          <w:tcPr>
            <w:tcW w:type="dxa" w:w="4819"/>
            <w:vAlign w:val="center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 w:line="264" w:lineRule="auto"/>
              <w:ind w:firstLine="0"/>
            </w:pPr>
            <w:r>
              <w:rPr>
                <w:b/>
                <w:sz w:val="19"/>
              </w:rPr>
              <w:t>具体动作</w:t>
            </w:r>
          </w:p>
        </w:tc>
        <w:tc>
          <w:tcPr>
            <w:tcW w:type="dxa" w:w="3061"/>
            <w:vAlign w:val="center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 w:line="264" w:lineRule="auto"/>
              <w:ind w:firstLine="0"/>
            </w:pPr>
            <w:r>
              <w:rPr>
                <w:b/>
                <w:sz w:val="19"/>
              </w:rPr>
              <w:t>应留下的结果</w:t>
            </w:r>
          </w:p>
        </w:tc>
      </w:tr>
      <w:tr>
        <w:trPr>
          <w:cantSplit/>
          <w:cantSplit/>
          <w:cantSplit/>
        </w:trPr>
        <w:tc>
          <w:tcPr>
            <w:tcW w:type="dxa" w:w="141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 w:line="264" w:lineRule="auto"/>
              <w:ind w:firstLine="0"/>
            </w:pPr>
            <w:r>
              <w:rPr>
                <w:sz w:val="19"/>
              </w:rPr>
              <w:t>1 明确任务</w:t>
            </w:r>
          </w:p>
        </w:tc>
        <w:tc>
          <w:tcPr>
            <w:tcW w:type="dxa" w:w="4819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 w:line="264" w:lineRule="auto"/>
              <w:ind w:firstLine="0"/>
            </w:pPr>
            <w:r>
              <w:rPr>
                <w:sz w:val="19"/>
              </w:rPr>
              <w:t>确定交付物、验收标准和约束。</w:t>
            </w:r>
          </w:p>
        </w:tc>
        <w:tc>
          <w:tcPr>
            <w:tcW w:type="dxa" w:w="306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 w:line="264" w:lineRule="auto"/>
              <w:ind w:firstLine="0"/>
            </w:pPr>
            <w:r>
              <w:rPr>
                <w:sz w:val="19"/>
              </w:rPr>
              <w:t>目标与验收条件</w:t>
            </w:r>
          </w:p>
        </w:tc>
      </w:tr>
      <w:tr>
        <w:trPr>
          <w:cantSplit/>
          <w:cantSplit/>
          <w:cantSplit/>
        </w:trPr>
        <w:tc>
          <w:tcPr>
            <w:tcW w:type="dxa" w:w="141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 w:line="264" w:lineRule="auto"/>
              <w:ind w:firstLine="0"/>
            </w:pPr>
            <w:r>
              <w:rPr>
                <w:sz w:val="19"/>
              </w:rPr>
              <w:t>2 按需读取</w:t>
            </w:r>
          </w:p>
        </w:tc>
        <w:tc>
          <w:tcPr>
            <w:tcW w:type="dxa" w:w="4819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 w:line="264" w:lineRule="auto"/>
              <w:ind w:firstLine="0"/>
            </w:pPr>
            <w:r>
              <w:rPr>
                <w:sz w:val="19"/>
              </w:rPr>
              <w:t>检索相关记忆，核对来源、版本、适用范围与权限。</w:t>
            </w:r>
          </w:p>
        </w:tc>
        <w:tc>
          <w:tcPr>
            <w:tcW w:type="dxa" w:w="306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 w:line="264" w:lineRule="auto"/>
              <w:ind w:firstLine="0"/>
            </w:pPr>
            <w:r>
              <w:rPr>
                <w:sz w:val="19"/>
              </w:rPr>
              <w:t>采用的条目及版本</w:t>
            </w:r>
          </w:p>
        </w:tc>
      </w:tr>
      <w:tr>
        <w:trPr>
          <w:cantSplit/>
          <w:cantSplit/>
          <w:cantSplit/>
        </w:trPr>
        <w:tc>
          <w:tcPr>
            <w:tcW w:type="dxa" w:w="141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 w:line="264" w:lineRule="auto"/>
              <w:ind w:firstLine="0"/>
            </w:pPr>
            <w:r>
              <w:rPr>
                <w:sz w:val="19"/>
              </w:rPr>
              <w:t>3 执行并记录</w:t>
            </w:r>
          </w:p>
        </w:tc>
        <w:tc>
          <w:tcPr>
            <w:tcW w:type="dxa" w:w="4819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 w:line="264" w:lineRule="auto"/>
              <w:ind w:firstLine="0"/>
            </w:pPr>
            <w:r>
              <w:rPr>
                <w:sz w:val="19"/>
              </w:rPr>
              <w:t>完成任务，记录关键纠正、失败和验证结果。</w:t>
            </w:r>
          </w:p>
        </w:tc>
        <w:tc>
          <w:tcPr>
            <w:tcW w:type="dxa" w:w="306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 w:line="264" w:lineRule="auto"/>
              <w:ind w:firstLine="0"/>
            </w:pPr>
            <w:r>
              <w:rPr>
                <w:sz w:val="19"/>
              </w:rPr>
              <w:t>可追溯的事件记录</w:t>
            </w:r>
          </w:p>
        </w:tc>
      </w:tr>
      <w:tr>
        <w:trPr>
          <w:cantSplit/>
          <w:cantSplit/>
          <w:cantSplit/>
        </w:trPr>
        <w:tc>
          <w:tcPr>
            <w:tcW w:type="dxa" w:w="141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 w:line="264" w:lineRule="auto"/>
              <w:ind w:firstLine="0"/>
            </w:pPr>
            <w:r>
              <w:rPr>
                <w:sz w:val="19"/>
              </w:rPr>
              <w:t>4 提炼经验</w:t>
            </w:r>
          </w:p>
        </w:tc>
        <w:tc>
          <w:tcPr>
            <w:tcW w:type="dxa" w:w="4819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 w:line="264" w:lineRule="auto"/>
              <w:ind w:firstLine="0"/>
            </w:pPr>
            <w:r>
              <w:rPr>
                <w:sz w:val="19"/>
              </w:rPr>
              <w:t>验收后去重；只有原因和适用条件明确，才形成候选记忆。</w:t>
            </w:r>
          </w:p>
        </w:tc>
        <w:tc>
          <w:tcPr>
            <w:tcW w:type="dxa" w:w="306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 w:line="264" w:lineRule="auto"/>
              <w:ind w:firstLine="0"/>
            </w:pPr>
            <w:r>
              <w:rPr>
                <w:sz w:val="19"/>
              </w:rPr>
              <w:t>候选条目及证据</w:t>
            </w:r>
          </w:p>
        </w:tc>
      </w:tr>
      <w:tr>
        <w:trPr>
          <w:cantSplit/>
          <w:cantSplit/>
          <w:cantSplit/>
        </w:trPr>
        <w:tc>
          <w:tcPr>
            <w:tcW w:type="dxa" w:w="141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 w:line="264" w:lineRule="auto"/>
              <w:ind w:firstLine="0"/>
            </w:pPr>
            <w:r>
              <w:rPr>
                <w:sz w:val="19"/>
              </w:rPr>
              <w:t>5 验证并更新</w:t>
            </w:r>
          </w:p>
        </w:tc>
        <w:tc>
          <w:tcPr>
            <w:tcW w:type="dxa" w:w="4819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 w:line="264" w:lineRule="auto"/>
              <w:ind w:firstLine="0"/>
            </w:pPr>
            <w:r>
              <w:rPr>
                <w:sz w:val="19"/>
              </w:rPr>
              <w:t>检查效果与冲突；按授权发布，保留旧版本。</w:t>
            </w:r>
          </w:p>
        </w:tc>
        <w:tc>
          <w:tcPr>
            <w:tcW w:type="dxa" w:w="306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 w:line="264" w:lineRule="auto"/>
              <w:ind w:firstLine="0"/>
            </w:pPr>
            <w:r>
              <w:rPr>
                <w:sz w:val="19"/>
              </w:rPr>
              <w:t>生效记忆或待验证事项</w:t>
            </w:r>
          </w:p>
        </w:tc>
      </w:tr>
    </w:tbl>
    <w:p>
      <w:pPr>
        <w:pStyle w:val="Heading1"/>
        <w:snapToGrid w:val="0"/>
        <w:snapToGrid w:val="0"/>
      </w:pPr>
      <w:r>
        <w:t>三 一条好记忆应回答什么</w:t>
      </w:r>
    </w:p>
    <w:p>
      <w:pPr>
        <w:snapToGrid w:val="0"/>
        <w:snapToGrid w:val="0"/>
      </w:pPr>
      <w:r/>
      <w:r>
        <w:rPr>
          <w:b/>
          <w:shd w:fill="FFF2CC"/>
        </w:rPr>
        <w:t>何时使用？具体怎么做？如何验证？何时不适用？</w:t>
      </w:r>
      <w:r>
        <w:t>这四个问题答不清，就先保留为候选，不写成长期规则。</w:t>
      </w:r>
    </w:p>
    <w:p>
      <w:pPr>
        <w:snapToGrid w:val="0"/>
        <w:snapToGrid w:val="0"/>
      </w:pPr>
      <w:r>
        <w:t>简易模板：标题与适用范围 → 触发条件 → 操作步骤 → 验证方法 → 来源证据 → 失效条件与版本。记忆不必多，关键是</w:t>
      </w:r>
      <w:r>
        <w:rPr>
          <w:b/>
          <w:shd w:fill="FFF2CC"/>
        </w:rPr>
        <w:t>下一次能找到、能用对</w:t>
      </w:r>
      <w:r>
        <w:t>。</w:t>
      </w:r>
    </w:p>
    <w:p>
      <w:pPr>
        <w:keepNext/>
        <w:spacing w:before="120" w:after="80"/>
        <w:ind w:firstLine="0"/>
        <w:jc w:val="center"/>
        <w:snapToGrid w:val="0"/>
      </w:pPr>
      <w:r>
        <w:drawing>
          <wp:inline xmlns:a="http://schemas.openxmlformats.org/drawingml/2006/main" xmlns:pic="http://schemas.openxmlformats.org/drawingml/2006/picture">
            <wp:extent cx="5040000" cy="2828571"/>
            <wp:docPr id="2" name="Picture 2" descr="图 2 版本与并发控制｜11:30。读图：版本记录帮助追溯与回滚；写入前后检查内容是否变化。工程实现还需确保比较与写入是原子操作，避免并发覆盖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_版本与并发_11分30秒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8285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80"/>
        <w:ind w:firstLine="0"/>
        <w:jc w:val="center"/>
        <w:snapToGrid w:val="0"/>
      </w:pPr>
      <w:r>
        <w:rPr>
          <w:b/>
          <w:sz w:val="18"/>
        </w:rPr>
        <w:t>图 2 版本与并发控制｜11:30</w:t>
      </w:r>
    </w:p>
    <w:p>
      <w:pPr>
        <w:spacing w:after="120"/>
        <w:ind w:firstLine="0"/>
        <w:snapToGrid w:val="0"/>
      </w:pPr>
      <w:r>
        <w:rPr>
          <w:sz w:val="18"/>
        </w:rPr>
        <w:t>读图：版本记录帮助追溯与回滚；写入前后检查内容是否变化。工程实现还需确保比较与写入是原子操作，避免并发覆盖。</w:t>
      </w:r>
    </w:p>
    <w:p>
      <w:pPr>
        <w:snapToGrid w:val="0"/>
        <w:snapToGrid w:val="0"/>
      </w:pPr>
      <w:r>
        <w:br w:type="page"/>
      </w:r>
    </w:p>
    <w:p>
      <w:pPr>
        <w:pStyle w:val="Heading1"/>
        <w:snapToGrid w:val="0"/>
        <w:snapToGrid w:val="0"/>
      </w:pPr>
      <w:r>
        <w:t>四 Dreaming 怎样开展复盘</w:t>
      </w:r>
    </w:p>
    <w:p>
      <w:pPr>
        <w:keepNext/>
        <w:spacing w:before="120" w:after="80"/>
        <w:ind w:firstLine="0"/>
        <w:jc w:val="center"/>
        <w:snapToGrid w:val="0"/>
      </w:pPr>
      <w:r>
        <w:drawing>
          <wp:inline xmlns:a="http://schemas.openxmlformats.org/drawingml/2006/main" xmlns:pic="http://schemas.openxmlformats.org/drawingml/2006/picture">
            <wp:extent cx="5400000" cy="3037500"/>
            <wp:docPr id="3" name="Picture 3" descr="图 3 Dreaming 内部流程｜22:50。读图：复制输入记忆库，由编排智能体组织子智能体分析各次会话，再整理输出记忆库。下文把这一机制归纳为四个可执行步骤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_Dreaming内部流程_22分50秒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80"/>
        <w:ind w:firstLine="0"/>
        <w:jc w:val="center"/>
        <w:snapToGrid w:val="0"/>
      </w:pPr>
      <w:r>
        <w:rPr>
          <w:b/>
          <w:sz w:val="18"/>
        </w:rPr>
        <w:t>图 3 Dreaming 内部流程｜22:50</w:t>
      </w:r>
    </w:p>
    <w:p>
      <w:pPr>
        <w:spacing w:after="120"/>
        <w:ind w:firstLine="0"/>
        <w:snapToGrid w:val="0"/>
      </w:pPr>
      <w:r>
        <w:rPr>
          <w:sz w:val="18"/>
        </w:rPr>
        <w:t>读图：复制输入记忆库，由编排智能体组织子智能体分析各次会话，再整理输出记忆库。下文把这一机制归纳为四个可执行步骤。</w:t>
      </w:r>
    </w:p>
    <w:p>
      <w:pPr>
        <w:snapToGrid w:val="0"/>
        <w:snapToGrid w:val="0"/>
      </w:pPr>
      <w:r>
        <w:t>准备输入：固定一个记忆库版本，选取权限匹配的会话，保留用户纠正、工具调用、失败和验收结果；设定时间与资源预算。</w:t>
      </w:r>
    </w:p>
    <w:p>
      <w:pPr>
        <w:snapToGrid w:val="0"/>
        <w:snapToGrid w:val="0"/>
      </w:pPr>
      <w:r>
        <w:t>定位原因：归类重复问题，比较成功与失败案例。</w:t>
      </w:r>
      <w:r>
        <w:rPr>
          <w:b/>
          <w:shd w:fill="FFF2CC"/>
        </w:rPr>
        <w:t>先判断是知识缺失、检索遗漏、流程问题，还是工具故障</w:t>
      </w:r>
      <w:r>
        <w:t>。重复出现只能提示优先调查，不能直接证明原因。</w:t>
      </w:r>
    </w:p>
    <w:p>
      <w:pPr>
        <w:snapToGrid w:val="0"/>
        <w:snapToGrid w:val="0"/>
      </w:pPr>
      <w:r>
        <w:t>提出修改：给出新增、修订、合并或停用建议，附来源案例、适用范围和修改理由。先形成可审阅的差异，避免直接覆盖记忆。</w:t>
      </w:r>
    </w:p>
    <w:p>
      <w:pPr>
        <w:snapToGrid w:val="0"/>
        <w:snapToGrid w:val="0"/>
      </w:pPr>
      <w:r>
        <w:t>验证发布：检查原问题是否改善、</w:t>
      </w:r>
      <w:r>
        <w:rPr>
          <w:b/>
          <w:shd w:fill="FFF2CC"/>
        </w:rPr>
        <w:t>正常任务是否被误伤</w:t>
      </w:r>
      <w:r>
        <w:t>。通过验证并取得所需批准后发布；证据不足则保留候选，没有有效修改也可以结束。</w:t>
      </w:r>
    </w:p>
    <w:p>
      <w:pPr>
        <w:spacing w:after="0"/>
        <w:snapToGrid w:val="0"/>
      </w:pPr>
      <w:r>
        <w:br w:type="page"/>
      </w:r>
    </w:p>
    <w:p>
      <w:pPr>
        <w:pStyle w:val="Heading1"/>
        <w:snapToGrid w:val="0"/>
        <w:snapToGrid w:val="0"/>
      </w:pPr>
      <w:r>
        <w:t>五 牢记三个运行边界</w:t>
      </w:r>
    </w:p>
    <w:p>
      <w:pPr>
        <w:snapToGrid w:val="0"/>
        <w:snapToGrid w:val="0"/>
      </w:pPr>
      <w:r>
        <w:t>权限边界：</w:t>
      </w:r>
      <w:r>
        <w:rPr>
          <w:b/>
          <w:shd w:fill="FFF2CC"/>
        </w:rPr>
        <w:t>能读取不等于能修改</w:t>
      </w:r>
      <w:r>
        <w:t>。组织规则按授权流程更新；外部网页、日志和历史对话不能自动成为新指令。</w:t>
      </w:r>
    </w:p>
    <w:p>
      <w:pPr>
        <w:snapToGrid w:val="0"/>
        <w:snapToGrid w:val="0"/>
      </w:pPr>
      <w:r>
        <w:t>写入边界：程序负责权限、版本与并发校验。</w:t>
      </w:r>
      <w:r>
        <w:rPr>
          <w:b/>
          <w:shd w:fill="FFF2CC"/>
        </w:rPr>
        <w:t>版本比较和写入应作为原子操作</w:t>
      </w:r>
      <w:r>
        <w:t>；发现冲突就重新读取，</w:t>
      </w:r>
      <w:r>
        <w:rPr>
          <w:b/>
          <w:shd w:fill="FFF2CC"/>
        </w:rPr>
        <w:t>出现退化就暂停或回滚</w:t>
      </w:r>
      <w:r>
        <w:t>。</w:t>
      </w:r>
    </w:p>
    <w:p>
      <w:pPr>
        <w:snapToGrid w:val="0"/>
        <w:snapToGrid w:val="0"/>
      </w:pPr>
      <w:r>
        <w:t>能力边界：持久记忆和后台复盘需要实际的存储与调度。只有完成写入，并在后续任务中读取，经验才真正进入工作流程。</w:t>
      </w:r>
    </w:p>
    <w:p>
      <w:pPr>
        <w:pStyle w:val="Heading1"/>
        <w:snapToGrid w:val="0"/>
        <w:snapToGrid w:val="0"/>
      </w:pPr>
      <w:r>
        <w:t>六 用一个例子检验理解</w:t>
      </w:r>
    </w:p>
    <w:p>
      <w:pPr>
        <w:snapToGrid w:val="0"/>
        <w:snapToGrid w:val="0"/>
      </w:pPr>
      <w:r>
        <w:t>问题：修改接口后，智能体遗漏了某个客户端。先补齐修改并验收，再记录遗漏原因。若缺少客户端清单，就补充知识；若清单存在但没检索到，就改进索引；若读到了仍遗漏，就把验证加入检查步骤。</w:t>
      </w:r>
      <w:r>
        <w:rPr>
          <w:b/>
          <w:shd w:fill="FFF2CC"/>
        </w:rPr>
        <w:t>不同原因需要不同修复</w:t>
      </w:r>
      <w:r>
        <w:t>。</w:t>
      </w:r>
    </w:p>
    <w:p>
      <w:pPr>
        <w:snapToGrid w:val="0"/>
        <w:snapToGrid w:val="0"/>
      </w:pPr>
      <w:r>
        <w:t>候选记忆可以写成：“接口结构变化时，检查项目现有客户端并执行对应更新；运行相关检查确认同步。”再补充项目范围、证据和不适用条件，用新任务验证后发布。</w:t>
      </w:r>
    </w:p>
    <w:p>
      <w:pPr>
        <w:pStyle w:val="Heading1"/>
        <w:snapToGrid w:val="0"/>
        <w:snapToGrid w:val="0"/>
      </w:pPr>
      <w:r>
        <w:t>学习后检查</w:t>
      </w:r>
    </w:p>
    <w:p>
      <w:pPr>
        <w:snapToGrid w:val="0"/>
        <w:snapToGrid w:val="0"/>
      </w:pPr>
      <w:r>
        <w:t>能否解释记忆与临时草稿的区别？能否写出有适用条件和验证方法的条目？能否判断一个失败是否需要修改记忆？能否说明更新如何审核与回滚？</w:t>
      </w:r>
    </w:p>
    <w:p>
      <w:pPr>
        <w:snapToGrid w:val="0"/>
        <w:snapToGrid w:val="0"/>
      </w:pPr>
      <w:r>
        <w:t>衡量改进时，关注重复错误率、人工纠正次数、完成时间，以及</w:t>
      </w:r>
      <w:r>
        <w:rPr>
          <w:b/>
          <w:shd w:fill="FFF2CC"/>
        </w:rPr>
        <w:t>执行与复盘的总成本</w:t>
      </w:r>
      <w:r>
        <w:t>。记忆数量和文件长度不能代表学习效果。</w:t>
      </w:r>
    </w:p>
    <w:p>
      <w:pPr>
        <w:spacing w:before="120"/>
        <w:ind w:firstLine="0"/>
        <w:snapToGrid w:val="0"/>
        <w:snapToGrid w:val="0"/>
      </w:pPr>
      <w:r>
        <w:rPr>
          <w:sz w:val="16"/>
        </w:rPr>
        <w:t>讲座回看：03:43 记忆演进  ·  10:42 版本与并发  ·  18:12 Dreaming  ·  21:45 系统设计</w:t>
        <w:br/>
        <w:t>完整录像：https://www.youtube.com/watch?v=tTcxVv8HHNw</w:t>
      </w:r>
    </w:p>
    <w:sectPr w:rsidR="00FC693F" w:rsidRPr="0006063C" w:rsidSect="00034616">
      <w:footerReference w:type="default" r:id="rId9"/>
      <w:pgSz w:w="11906" w:h="16838"/>
      <w:pgMar w:top="1134" w:right="1304" w:bottom="1134" w:left="1304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ind w:firstLine="0"/>
      <w:jc w:val="center"/>
    </w:pPr>
    <w:r>
      <w:rPr>
        <w:sz w:val="18"/>
      </w:rPr>
      <w:t xml:space="preserve">第 </w:t>
    </w:r>
    <w:fldSimple w:instr="PAGE"/>
    <w:r>
      <w:rPr>
        <w:sz w:val="18"/>
      </w:rPr>
      <w:t xml:space="preserve"> 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80"/>
      <w:ind w:firstLine="420"/>
    </w:pPr>
    <w:rPr>
      <w:rFonts w:ascii="Calibri" w:hAnsi="Calibri" w:eastAsia="Microsoft YaHe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100" w:after="140"/>
      <w:ind w:firstLine="0"/>
      <w:outlineLvl w:val="0"/>
    </w:pPr>
    <w:rPr>
      <w:rFonts w:asciiTheme="majorHAnsi" w:eastAsiaTheme="majorEastAsia" w:hAnsiTheme="majorHAnsi" w:cstheme="majorBidi" w:ascii="Calibri" w:hAnsi="Calibri" w:eastAsia="Microsoft YaHe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120" w:after="100"/>
      <w:ind w:firstLine="0"/>
      <w:outlineLvl w:val="1"/>
    </w:pPr>
    <w:rPr>
      <w:rFonts w:asciiTheme="majorHAnsi" w:eastAsiaTheme="majorEastAsia" w:hAnsiTheme="majorHAnsi" w:cstheme="majorBidi" w:ascii="Calibri" w:hAnsi="Calibri" w:eastAsia="Microsoft YaHe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280" w:line="240" w:lineRule="auto"/>
      <w:ind w:firstLine="0"/>
      <w:contextualSpacing/>
    </w:pPr>
    <w:rPr>
      <w:rFonts w:asciiTheme="majorHAnsi" w:eastAsiaTheme="majorEastAsia" w:hAnsiTheme="majorHAnsi" w:cstheme="majorBidi" w:ascii="Calibri" w:hAnsi="Calibri" w:eastAsia="Microsoft YaHei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</w:pPr>
    <w:rPr>
      <w:rFonts w:asciiTheme="majorHAnsi" w:eastAsiaTheme="majorEastAsia" w:hAnsiTheme="majorHAnsi" w:cstheme="majorBidi" w:ascii="Calibri" w:hAnsi="Calibri" w:eastAsia="Microsoft YaHe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智能体记忆与复盘学习指南 图文版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